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B5" w:rsidRDefault="00651AB5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4E5C3D8" wp14:editId="4D96E7E5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6109335" cy="524002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/>
                    </a:blip>
                    <a:srcRect l="1940" t="1799" r="839" b="2145"/>
                    <a:stretch/>
                  </pic:blipFill>
                  <pic:spPr bwMode="auto">
                    <a:xfrm>
                      <a:off x="0" y="0"/>
                      <a:ext cx="610933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Pr="00651AB5" w:rsidRDefault="00651AB5" w:rsidP="00651AB5"/>
    <w:p w:rsidR="00651AB5" w:rsidRDefault="00651AB5" w:rsidP="00651AB5"/>
    <w:p w:rsidR="00651AB5" w:rsidRPr="00651AB5" w:rsidRDefault="00651AB5" w:rsidP="00651AB5">
      <w:pPr>
        <w:spacing w:after="0" w:line="360" w:lineRule="auto"/>
        <w:jc w:val="both"/>
        <w:rPr>
          <w:sz w:val="20"/>
          <w:szCs w:val="20"/>
        </w:rPr>
      </w:pPr>
      <w:r w:rsidRPr="00651AB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S1: Representative histograms of polyclonal T cell proliferation assay. 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>Responder PBMCs were isolated, labelled with CFSE and stimulated with</w:t>
      </w:r>
      <w:r w:rsidRPr="00651AB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>OKT3 and IL-2 to induce polyclonal T cell proliferation. The stimulated responder PBMCs were co-cultured with allogenic MSCs, MDSCs, or CD4</w:t>
      </w:r>
      <w:r w:rsidRPr="00651AB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>CD25</w:t>
      </w:r>
      <w:r w:rsidRPr="00651AB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</w:p>
    <w:p w:rsidR="00651AB5" w:rsidRDefault="00651AB5" w:rsidP="00651A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1AB5">
        <w:rPr>
          <w:rFonts w:ascii="Times New Roman" w:eastAsia="Times New Roman" w:hAnsi="Times New Roman" w:cs="Times New Roman"/>
          <w:sz w:val="20"/>
          <w:szCs w:val="20"/>
        </w:rPr>
        <w:t>Tregs in diff</w:t>
      </w:r>
      <w:r>
        <w:rPr>
          <w:rFonts w:ascii="Times New Roman" w:eastAsia="Times New Roman" w:hAnsi="Times New Roman" w:cs="Times New Roman"/>
          <w:sz w:val="20"/>
          <w:szCs w:val="20"/>
        </w:rPr>
        <w:t>erent ratios for 4-5 days at 37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>°C and 5 % CO</w:t>
      </w:r>
      <w:r w:rsidRPr="00651AB5">
        <w:rPr>
          <w:rFonts w:ascii="Times New Roman" w:eastAsia="Times New Roman" w:hAnsi="Times New Roman" w:cs="Times New Roman"/>
          <w:color w:val="FF0000"/>
          <w:sz w:val="20"/>
          <w:szCs w:val="20"/>
          <w:vertAlign w:val="subscript"/>
        </w:rPr>
        <w:t>2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>. Stimulated PBMCs without immunomodulatory cells and unstimulated PBMCs were seeded as controls. After incubation, proliferation of CD4</w:t>
      </w:r>
      <w:r w:rsidRPr="00651AB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 xml:space="preserve"> and CD8</w:t>
      </w:r>
      <w:r w:rsidRPr="00651AB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651AB5">
        <w:rPr>
          <w:rFonts w:ascii="Times New Roman" w:eastAsia="Times New Roman" w:hAnsi="Times New Roman" w:cs="Times New Roman"/>
          <w:sz w:val="20"/>
          <w:szCs w:val="20"/>
        </w:rPr>
        <w:t xml:space="preserve"> T cells was analyzed by flow cytometry. Representative histograms in the ratios 1:0.16 and 1:0.5 are shown.</w:t>
      </w:r>
    </w:p>
    <w:p w:rsidR="00515686" w:rsidRDefault="00515686" w:rsidP="00651A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15686" w:rsidRPr="00651AB5" w:rsidRDefault="00515686" w:rsidP="00651AB5">
      <w:pPr>
        <w:spacing w:after="0" w:line="360" w:lineRule="auto"/>
        <w:jc w:val="both"/>
        <w:rPr>
          <w:sz w:val="20"/>
          <w:szCs w:val="20"/>
        </w:rPr>
      </w:pPr>
      <w:r w:rsidRPr="00515686">
        <w:rPr>
          <w:noProof/>
          <w:sz w:val="20"/>
          <w:szCs w:val="20"/>
        </w:rPr>
        <w:lastRenderedPageBreak/>
        <w:drawing>
          <wp:inline distT="0" distB="0" distL="0" distR="0">
            <wp:extent cx="4638040" cy="3810000"/>
            <wp:effectExtent l="0" t="0" r="0" b="0"/>
            <wp:docPr id="2" name="Picture 2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r="10299" b="2975"/>
                    <a:stretch/>
                  </pic:blipFill>
                  <pic:spPr bwMode="auto">
                    <a:xfrm>
                      <a:off x="0" y="0"/>
                      <a:ext cx="4638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93A" w:rsidRDefault="0079793A" w:rsidP="0080564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64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S2: Characterization of MSCs. 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 xml:space="preserve">Human MSCs were isolated, cultured and cell morphology was analyzed at ×20 original magnification by Zeiss </w:t>
      </w:r>
      <w:proofErr w:type="spellStart"/>
      <w:r w:rsidRPr="00805644">
        <w:rPr>
          <w:rFonts w:ascii="Times New Roman" w:eastAsia="Times New Roman" w:hAnsi="Times New Roman" w:cs="Times New Roman"/>
          <w:sz w:val="20"/>
          <w:szCs w:val="20"/>
        </w:rPr>
        <w:t>Axiovert</w:t>
      </w:r>
      <w:proofErr w:type="spellEnd"/>
      <w:r w:rsidRPr="0080564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 xml:space="preserve">135 microscopy (Carl Zeiss) using Canon EOS 550D camera (Canon) and Eos Utility software (Canon). The </w:t>
      </w:r>
      <w:proofErr w:type="spellStart"/>
      <w:r w:rsidRPr="00805644">
        <w:rPr>
          <w:rFonts w:ascii="Times New Roman" w:eastAsia="Times New Roman" w:hAnsi="Times New Roman" w:cs="Times New Roman"/>
          <w:sz w:val="20"/>
          <w:szCs w:val="20"/>
        </w:rPr>
        <w:t>immunophenotype</w:t>
      </w:r>
      <w:proofErr w:type="spellEnd"/>
      <w:r w:rsidRPr="00805644">
        <w:rPr>
          <w:rFonts w:ascii="Times New Roman" w:eastAsia="Times New Roman" w:hAnsi="Times New Roman" w:cs="Times New Roman"/>
          <w:sz w:val="20"/>
          <w:szCs w:val="20"/>
        </w:rPr>
        <w:t xml:space="preserve"> of MSCs was confirmed as CD73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CD90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CD105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HLA-ABC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CD34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CD45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, and CD27</w:t>
      </w:r>
      <w:r w:rsidRPr="00805644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805644">
        <w:rPr>
          <w:rFonts w:ascii="Times New Roman" w:eastAsia="Times New Roman" w:hAnsi="Times New Roman" w:cs="Times New Roman"/>
          <w:sz w:val="20"/>
          <w:szCs w:val="20"/>
        </w:rPr>
        <w:t>. Representative histograms are shown with surface markers in red and isotype controls in black.</w:t>
      </w:r>
    </w:p>
    <w:p w:rsidR="006420CD" w:rsidRDefault="006420CD" w:rsidP="0080564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420CD" w:rsidRPr="00805644" w:rsidRDefault="006420CD" w:rsidP="00805644">
      <w:pPr>
        <w:spacing w:after="0" w:line="360" w:lineRule="auto"/>
        <w:jc w:val="both"/>
        <w:rPr>
          <w:sz w:val="20"/>
          <w:szCs w:val="20"/>
        </w:rPr>
      </w:pPr>
      <w:r w:rsidRPr="006420CD">
        <w:rPr>
          <w:noProof/>
          <w:sz w:val="20"/>
          <w:szCs w:val="20"/>
        </w:rPr>
        <w:lastRenderedPageBreak/>
        <w:drawing>
          <wp:inline distT="0" distB="0" distL="0" distR="0">
            <wp:extent cx="4556760" cy="3637280"/>
            <wp:effectExtent l="0" t="0" r="0" b="1270"/>
            <wp:docPr id="3" name="Picture 3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r="3858"/>
                    <a:stretch/>
                  </pic:blipFill>
                  <pic:spPr bwMode="auto">
                    <a:xfrm>
                      <a:off x="0" y="0"/>
                      <a:ext cx="455676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0D5" w:rsidRPr="007510D5" w:rsidRDefault="007510D5" w:rsidP="007510D5">
      <w:pPr>
        <w:spacing w:after="0" w:line="360" w:lineRule="auto"/>
        <w:jc w:val="both"/>
        <w:rPr>
          <w:sz w:val="20"/>
          <w:szCs w:val="20"/>
        </w:rPr>
      </w:pPr>
      <w:r w:rsidRPr="007510D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S3: Characterization of PMN-MDSCs. 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PMN-MDSCs were obtained from PBMC fraction by magnetic separation with anti-human CD66b-FITC</w:t>
      </w:r>
      <w:r w:rsidRPr="007510D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 xml:space="preserve">antibodies and anti-FITC </w:t>
      </w:r>
      <w:proofErr w:type="spellStart"/>
      <w:r w:rsidRPr="007510D5">
        <w:rPr>
          <w:rFonts w:ascii="Times New Roman" w:eastAsia="Times New Roman" w:hAnsi="Times New Roman" w:cs="Times New Roman"/>
          <w:sz w:val="20"/>
          <w:szCs w:val="20"/>
        </w:rPr>
        <w:t>MicroBeads</w:t>
      </w:r>
      <w:proofErr w:type="spellEnd"/>
      <w:r w:rsidRPr="007510D5">
        <w:rPr>
          <w:rFonts w:ascii="Times New Roman" w:eastAsia="Times New Roman" w:hAnsi="Times New Roman" w:cs="Times New Roman"/>
          <w:sz w:val="20"/>
          <w:szCs w:val="20"/>
        </w:rPr>
        <w:t xml:space="preserve">. The </w:t>
      </w:r>
      <w:proofErr w:type="spellStart"/>
      <w:r w:rsidRPr="007510D5">
        <w:rPr>
          <w:rFonts w:ascii="Times New Roman" w:eastAsia="Times New Roman" w:hAnsi="Times New Roman" w:cs="Times New Roman"/>
          <w:sz w:val="20"/>
          <w:szCs w:val="20"/>
        </w:rPr>
        <w:t>immunophenotype</w:t>
      </w:r>
      <w:proofErr w:type="spellEnd"/>
      <w:r w:rsidRPr="007510D5">
        <w:rPr>
          <w:rFonts w:ascii="Times New Roman" w:eastAsia="Times New Roman" w:hAnsi="Times New Roman" w:cs="Times New Roman"/>
          <w:sz w:val="20"/>
          <w:szCs w:val="20"/>
        </w:rPr>
        <w:t xml:space="preserve"> of PMN-MDSCs was determined as </w:t>
      </w:r>
      <w:proofErr w:type="spellStart"/>
      <w:r w:rsidRPr="007510D5">
        <w:rPr>
          <w:rFonts w:ascii="Times New Roman" w:eastAsia="Times New Roman" w:hAnsi="Times New Roman" w:cs="Times New Roman"/>
          <w:sz w:val="20"/>
          <w:szCs w:val="20"/>
        </w:rPr>
        <w:t>SSC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high</w:t>
      </w:r>
      <w:proofErr w:type="spellEnd"/>
      <w:r w:rsidRPr="007510D5">
        <w:rPr>
          <w:rFonts w:ascii="Times New Roman" w:eastAsia="Times New Roman" w:hAnsi="Times New Roman" w:cs="Times New Roman"/>
          <w:sz w:val="20"/>
          <w:szCs w:val="20"/>
        </w:rPr>
        <w:t>, CD66b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CD33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CD11b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CXCR4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CD16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CD14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, and HLA-DR</w:t>
      </w:r>
      <w:r w:rsidRPr="007510D5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7510D5">
        <w:rPr>
          <w:rFonts w:ascii="Times New Roman" w:eastAsia="Times New Roman" w:hAnsi="Times New Roman" w:cs="Times New Roman"/>
          <w:sz w:val="20"/>
          <w:szCs w:val="20"/>
        </w:rPr>
        <w:t>. Shown are representative histograms with surface markers in red and isotype controls in black.</w:t>
      </w:r>
    </w:p>
    <w:p w:rsidR="00805289" w:rsidRDefault="00456B1A" w:rsidP="00651AB5">
      <w:pPr>
        <w:tabs>
          <w:tab w:val="left" w:pos="1640"/>
        </w:tabs>
      </w:pPr>
      <w:r w:rsidRPr="00456B1A">
        <w:rPr>
          <w:noProof/>
        </w:rPr>
        <w:lastRenderedPageBreak/>
        <w:drawing>
          <wp:inline distT="0" distB="0" distL="0" distR="0">
            <wp:extent cx="4556760" cy="3810000"/>
            <wp:effectExtent l="0" t="0" r="0" b="0"/>
            <wp:docPr id="4" name="Picture 4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r="3173"/>
                    <a:stretch/>
                  </pic:blipFill>
                  <pic:spPr bwMode="auto">
                    <a:xfrm>
                      <a:off x="0" y="0"/>
                      <a:ext cx="45567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289" w:rsidRDefault="00805289" w:rsidP="00805289"/>
    <w:p w:rsidR="009A74CC" w:rsidRDefault="00805289" w:rsidP="00805289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289">
        <w:rPr>
          <w:rFonts w:ascii="Times New Roman" w:eastAsia="Times New Roman" w:hAnsi="Times New Roman" w:cs="Times New Roman"/>
          <w:b/>
          <w:bCs/>
          <w:sz w:val="20"/>
          <w:szCs w:val="20"/>
        </w:rPr>
        <w:t>Figure S4: Characterization of regulatory CD4</w:t>
      </w:r>
      <w:r w:rsidRPr="0080528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b/>
          <w:bCs/>
          <w:sz w:val="20"/>
          <w:szCs w:val="20"/>
        </w:rPr>
        <w:t>CD25</w:t>
      </w:r>
      <w:r w:rsidRPr="00805289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T cells. 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Tregs were isolated from the PBMC fraction by using CD4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CD25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Regulatory T Cell Isolation</w:t>
      </w:r>
      <w:r w:rsidRPr="0080528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Kit (</w:t>
      </w:r>
      <w:proofErr w:type="spellStart"/>
      <w:r w:rsidRPr="00805289">
        <w:rPr>
          <w:rFonts w:ascii="Times New Roman" w:eastAsia="Times New Roman" w:hAnsi="Times New Roman" w:cs="Times New Roman"/>
          <w:sz w:val="20"/>
          <w:szCs w:val="20"/>
        </w:rPr>
        <w:t>Miltenyi</w:t>
      </w:r>
      <w:proofErr w:type="spellEnd"/>
      <w:r w:rsidRPr="0080528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5289">
        <w:rPr>
          <w:rFonts w:ascii="Times New Roman" w:eastAsia="Times New Roman" w:hAnsi="Times New Roman" w:cs="Times New Roman"/>
          <w:sz w:val="20"/>
          <w:szCs w:val="20"/>
        </w:rPr>
        <w:t>Biotec</w:t>
      </w:r>
      <w:proofErr w:type="spellEnd"/>
      <w:r w:rsidRPr="00805289">
        <w:rPr>
          <w:rFonts w:ascii="Times New Roman" w:eastAsia="Times New Roman" w:hAnsi="Times New Roman" w:cs="Times New Roman"/>
          <w:sz w:val="20"/>
          <w:szCs w:val="20"/>
        </w:rPr>
        <w:t>). Tregs were identified as CD3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, CD4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, CD25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, FoxP3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, CD127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, and CD45RA</w:t>
      </w:r>
      <w:r w:rsidRPr="00805289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low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. Typical histograms are presented with cell markers in red</w:t>
      </w:r>
      <w:r w:rsidRPr="00805289">
        <w:rPr>
          <w:sz w:val="20"/>
          <w:szCs w:val="20"/>
        </w:rPr>
        <w:t xml:space="preserve"> </w:t>
      </w:r>
      <w:r w:rsidRPr="00805289">
        <w:rPr>
          <w:rFonts w:ascii="Times New Roman" w:eastAsia="Times New Roman" w:hAnsi="Times New Roman" w:cs="Times New Roman"/>
          <w:sz w:val="20"/>
          <w:szCs w:val="20"/>
        </w:rPr>
        <w:t>and isotype controls in black.</w:t>
      </w:r>
    </w:p>
    <w:p w:rsidR="000061C0" w:rsidRDefault="005104D2" w:rsidP="00805289">
      <w:pPr>
        <w:spacing w:after="0" w:line="360" w:lineRule="auto"/>
        <w:jc w:val="both"/>
        <w:rPr>
          <w:sz w:val="20"/>
          <w:szCs w:val="20"/>
        </w:rPr>
      </w:pPr>
      <w:r w:rsidRPr="005104D2">
        <w:rPr>
          <w:noProof/>
          <w:sz w:val="20"/>
          <w:szCs w:val="20"/>
        </w:rPr>
        <w:lastRenderedPageBreak/>
        <w:drawing>
          <wp:inline distT="0" distB="0" distL="0" distR="0">
            <wp:extent cx="5379720" cy="3728720"/>
            <wp:effectExtent l="0" t="0" r="0" b="5080"/>
            <wp:docPr id="5" name="Picture 5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"/>
                    <a:stretch/>
                  </pic:blipFill>
                  <pic:spPr bwMode="auto">
                    <a:xfrm>
                      <a:off x="0" y="0"/>
                      <a:ext cx="537972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1C0" w:rsidRPr="000061C0" w:rsidRDefault="000061C0" w:rsidP="000061C0">
      <w:pPr>
        <w:spacing w:after="0" w:line="360" w:lineRule="auto"/>
        <w:jc w:val="both"/>
        <w:rPr>
          <w:sz w:val="20"/>
          <w:szCs w:val="20"/>
        </w:rPr>
      </w:pPr>
      <w:r w:rsidRPr="000061C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S5: Characterization of PBMC-derived cytokine-induced MDSCs. 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>PBMCs were cultured in complete medium for 7 days with 10 ng/ml GM-CSF.</w:t>
      </w:r>
      <w:r w:rsidRPr="000061C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 xml:space="preserve">Cytokine-induced MDSCs from PBMCs were identified as </w:t>
      </w:r>
      <w:proofErr w:type="spellStart"/>
      <w:r w:rsidRPr="000061C0">
        <w:rPr>
          <w:rFonts w:ascii="Times New Roman" w:eastAsia="Times New Roman" w:hAnsi="Times New Roman" w:cs="Times New Roman"/>
          <w:sz w:val="20"/>
          <w:szCs w:val="20"/>
        </w:rPr>
        <w:t>SSC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high</w:t>
      </w:r>
      <w:proofErr w:type="spellEnd"/>
      <w:r w:rsidRPr="000061C0">
        <w:rPr>
          <w:rFonts w:ascii="Times New Roman" w:eastAsia="Times New Roman" w:hAnsi="Times New Roman" w:cs="Times New Roman"/>
          <w:sz w:val="20"/>
          <w:szCs w:val="20"/>
        </w:rPr>
        <w:t>, CD33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>, CD11b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 xml:space="preserve"> and CD14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 xml:space="preserve"> as well as CXCR4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>, CD16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>, CD66b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>, HLA-</w:t>
      </w:r>
      <w:proofErr w:type="spellStart"/>
      <w:r w:rsidRPr="000061C0">
        <w:rPr>
          <w:rFonts w:ascii="Times New Roman" w:eastAsia="Times New Roman" w:hAnsi="Times New Roman" w:cs="Times New Roman"/>
          <w:sz w:val="20"/>
          <w:szCs w:val="20"/>
        </w:rPr>
        <w:t>DR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inter</w:t>
      </w:r>
      <w:proofErr w:type="spellEnd"/>
      <w:r w:rsidRPr="000061C0">
        <w:rPr>
          <w:rFonts w:ascii="Times New Roman" w:eastAsia="Times New Roman" w:hAnsi="Times New Roman" w:cs="Times New Roman"/>
          <w:sz w:val="20"/>
          <w:szCs w:val="20"/>
        </w:rPr>
        <w:t>, CCR2</w:t>
      </w:r>
      <w:r w:rsidRPr="000061C0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061C0">
        <w:rPr>
          <w:rFonts w:ascii="Times New Roman" w:eastAsia="Times New Roman" w:hAnsi="Times New Roman" w:cs="Times New Roman"/>
          <w:sz w:val="20"/>
          <w:szCs w:val="20"/>
        </w:rPr>
        <w:t xml:space="preserve">, and negative lineage markers (CD3, CD19, </w:t>
      </w:r>
      <w:proofErr w:type="gramStart"/>
      <w:r w:rsidRPr="000061C0">
        <w:rPr>
          <w:rFonts w:ascii="Times New Roman" w:eastAsia="Times New Roman" w:hAnsi="Times New Roman" w:cs="Times New Roman"/>
          <w:sz w:val="20"/>
          <w:szCs w:val="20"/>
        </w:rPr>
        <w:t>CD56</w:t>
      </w:r>
      <w:proofErr w:type="gramEnd"/>
      <w:r w:rsidRPr="000061C0">
        <w:rPr>
          <w:rFonts w:ascii="Times New Roman" w:eastAsia="Times New Roman" w:hAnsi="Times New Roman" w:cs="Times New Roman"/>
          <w:sz w:val="20"/>
          <w:szCs w:val="20"/>
        </w:rPr>
        <w:t>). In the representative histograms, surface markers are shown in red and isotype controls in black.</w:t>
      </w:r>
    </w:p>
    <w:p w:rsidR="005104D2" w:rsidRDefault="005104D2" w:rsidP="000061C0">
      <w:pPr>
        <w:tabs>
          <w:tab w:val="left" w:pos="1160"/>
        </w:tabs>
        <w:rPr>
          <w:sz w:val="20"/>
          <w:szCs w:val="20"/>
        </w:rPr>
      </w:pPr>
    </w:p>
    <w:p w:rsidR="0001651C" w:rsidRDefault="0001651C" w:rsidP="000061C0">
      <w:pPr>
        <w:tabs>
          <w:tab w:val="left" w:pos="1160"/>
        </w:tabs>
        <w:rPr>
          <w:sz w:val="20"/>
          <w:szCs w:val="20"/>
        </w:rPr>
      </w:pPr>
      <w:r w:rsidRPr="0001651C">
        <w:rPr>
          <w:noProof/>
          <w:sz w:val="20"/>
          <w:szCs w:val="20"/>
        </w:rPr>
        <w:lastRenderedPageBreak/>
        <w:drawing>
          <wp:inline distT="0" distB="0" distL="0" distR="0">
            <wp:extent cx="5445760" cy="3743960"/>
            <wp:effectExtent l="0" t="0" r="2540" b="8890"/>
            <wp:docPr id="6" name="Picture 6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212" b="1207"/>
                    <a:stretch/>
                  </pic:blipFill>
                  <pic:spPr bwMode="auto">
                    <a:xfrm>
                      <a:off x="0" y="0"/>
                      <a:ext cx="544576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1C" w:rsidRDefault="0001651C" w:rsidP="0001651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1651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S6: Characterization of BMMC-derived cytokine-induced MDSCs. 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After density gradient centrifugation of bone marrow aspirates, BMMCs were</w:t>
      </w:r>
      <w:r w:rsidRPr="0001651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 xml:space="preserve">cultured in complete medium for 7 days with 10 ng/ml GM-CSF. Cytokine-induced MDSCs from BMMCs were determined as </w:t>
      </w:r>
      <w:proofErr w:type="spellStart"/>
      <w:r w:rsidRPr="0001651C">
        <w:rPr>
          <w:rFonts w:ascii="Times New Roman" w:eastAsia="Times New Roman" w:hAnsi="Times New Roman" w:cs="Times New Roman"/>
          <w:sz w:val="20"/>
          <w:szCs w:val="20"/>
        </w:rPr>
        <w:t>SSC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high</w:t>
      </w:r>
      <w:proofErr w:type="spellEnd"/>
      <w:r w:rsidRPr="0001651C">
        <w:rPr>
          <w:rFonts w:ascii="Times New Roman" w:eastAsia="Times New Roman" w:hAnsi="Times New Roman" w:cs="Times New Roman"/>
          <w:sz w:val="20"/>
          <w:szCs w:val="20"/>
        </w:rPr>
        <w:t>, CD33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, CD11b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 xml:space="preserve"> and CD14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, additional confirmed as CXCR4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, CD16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, CD66b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</w:t>
      </w:r>
      <w:r w:rsidRPr="0001651C">
        <w:rPr>
          <w:rFonts w:ascii="Times New Roman" w:eastAsia="Times New Roman" w:hAnsi="Times New Roman" w:cs="Times New Roman"/>
          <w:sz w:val="20"/>
          <w:szCs w:val="20"/>
        </w:rPr>
        <w:t>, HLA-</w:t>
      </w:r>
      <w:proofErr w:type="spellStart"/>
      <w:r w:rsidRPr="0001651C">
        <w:rPr>
          <w:rFonts w:ascii="Times New Roman" w:eastAsia="Times New Roman" w:hAnsi="Times New Roman" w:cs="Times New Roman"/>
          <w:sz w:val="20"/>
          <w:szCs w:val="20"/>
        </w:rPr>
        <w:t>DR</w:t>
      </w:r>
      <w:r w:rsidRPr="0001651C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inter</w:t>
      </w:r>
      <w:proofErr w:type="spellEnd"/>
      <w:r w:rsidRPr="0001651C">
        <w:rPr>
          <w:rFonts w:ascii="Times New Roman" w:eastAsia="Times New Roman" w:hAnsi="Times New Roman" w:cs="Times New Roman"/>
          <w:sz w:val="20"/>
          <w:szCs w:val="20"/>
        </w:rPr>
        <w:t xml:space="preserve"> and negative lineage markers (CD3, CD19, CD56). In order to be distinct from</w:t>
      </w:r>
      <w:bookmarkStart w:id="0" w:name="page2"/>
      <w:bookmarkEnd w:id="0"/>
      <w:r w:rsidRPr="0001651C">
        <w:rPr>
          <w:rFonts w:ascii="Times New Roman" w:eastAsia="Times New Roman" w:hAnsi="Times New Roman" w:cs="Times New Roman"/>
          <w:sz w:val="20"/>
          <w:szCs w:val="20"/>
        </w:rPr>
        <w:t xml:space="preserve"> neutrophils, the cytokine-induced MDSCs were stained with CCR2 and CCR5 antibodies. Representative histograms are shown with surface markers in red and isotype controls in black.</w:t>
      </w:r>
    </w:p>
    <w:p w:rsidR="00623918" w:rsidRDefault="00623918" w:rsidP="0001651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1D20" w:rsidRDefault="00201D20" w:rsidP="0001651C">
      <w:pPr>
        <w:spacing w:after="0" w:line="360" w:lineRule="auto"/>
        <w:rPr>
          <w:sz w:val="20"/>
          <w:szCs w:val="20"/>
        </w:rPr>
      </w:pPr>
      <w:r w:rsidRPr="00201D20">
        <w:rPr>
          <w:noProof/>
          <w:sz w:val="20"/>
          <w:szCs w:val="20"/>
        </w:rPr>
        <w:lastRenderedPageBreak/>
        <w:drawing>
          <wp:inline distT="0" distB="0" distL="0" distR="0">
            <wp:extent cx="5943600" cy="3115266"/>
            <wp:effectExtent l="0" t="0" r="0" b="9525"/>
            <wp:docPr id="7" name="Picture 7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stin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18" w:rsidRDefault="00201D20" w:rsidP="00C0588D">
      <w:pPr>
        <w:tabs>
          <w:tab w:val="left" w:pos="1448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0588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S7: Comparison of autologous and allogenic PMN-MDSCs. </w:t>
      </w:r>
      <w:r w:rsidRPr="00C0588D">
        <w:rPr>
          <w:rFonts w:ascii="Times New Roman" w:eastAsia="Times New Roman" w:hAnsi="Times New Roman" w:cs="Times New Roman"/>
          <w:sz w:val="20"/>
          <w:szCs w:val="20"/>
        </w:rPr>
        <w:t>(A)</w:t>
      </w:r>
      <w:r w:rsidRPr="00C0588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C0588D">
        <w:rPr>
          <w:rFonts w:ascii="Times New Roman" w:eastAsia="Times New Roman" w:hAnsi="Times New Roman" w:cs="Times New Roman"/>
          <w:sz w:val="20"/>
          <w:szCs w:val="20"/>
        </w:rPr>
        <w:t>Responder</w:t>
      </w:r>
      <w:r w:rsidRPr="00C0588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C0588D">
        <w:rPr>
          <w:rFonts w:ascii="Times New Roman" w:eastAsia="Times New Roman" w:hAnsi="Times New Roman" w:cs="Times New Roman"/>
          <w:sz w:val="20"/>
          <w:szCs w:val="20"/>
        </w:rPr>
        <w:t xml:space="preserve">PBMCs were labelled with CFSE, stimulated with OKT3 and IL-2. PMN-MDSCs were isolated by magnetic separation with CD66b antibodies and appropriate </w:t>
      </w:r>
      <w:proofErr w:type="spellStart"/>
      <w:r w:rsidRPr="00C0588D">
        <w:rPr>
          <w:rFonts w:ascii="Times New Roman" w:eastAsia="Times New Roman" w:hAnsi="Times New Roman" w:cs="Times New Roman"/>
          <w:sz w:val="20"/>
          <w:szCs w:val="20"/>
        </w:rPr>
        <w:t>MicroBeads</w:t>
      </w:r>
      <w:proofErr w:type="spellEnd"/>
      <w:r w:rsidRPr="00C0588D">
        <w:rPr>
          <w:rFonts w:ascii="Times New Roman" w:eastAsia="Times New Roman" w:hAnsi="Times New Roman" w:cs="Times New Roman"/>
          <w:sz w:val="20"/>
          <w:szCs w:val="20"/>
        </w:rPr>
        <w:t>. Stimulated PBMCs were cultured in different ratios of 1:0.16, 1:0.25 or 1:0.5 with PMN-MDSCs from an autologous or allogenic donor as indicated. After 4 days of incubation, the proliferation of T cells was analyzed by flow cytometry. Each donor of responder PBMCs is presented by ● for CD4</w:t>
      </w:r>
      <w:r w:rsidRPr="00C0588D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C0588D">
        <w:rPr>
          <w:rFonts w:ascii="Times New Roman" w:eastAsia="Times New Roman" w:hAnsi="Times New Roman" w:cs="Times New Roman"/>
          <w:sz w:val="20"/>
          <w:szCs w:val="20"/>
        </w:rPr>
        <w:t xml:space="preserve"> and CD8</w:t>
      </w:r>
      <w:r w:rsidRPr="00C0588D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C0588D">
        <w:rPr>
          <w:rFonts w:ascii="Times New Roman" w:eastAsia="Times New Roman" w:hAnsi="Times New Roman" w:cs="Times New Roman"/>
          <w:sz w:val="20"/>
          <w:szCs w:val="20"/>
        </w:rPr>
        <w:t xml:space="preserve"> T cells. (B) Supernatants from the co-cultured PBMCs with PMN-MDSCs were collected after 4 days and assessed for </w:t>
      </w:r>
      <w:proofErr w:type="spellStart"/>
      <w:r w:rsidRPr="00C0588D">
        <w:rPr>
          <w:rFonts w:ascii="Times New Roman" w:eastAsia="Times New Roman" w:hAnsi="Times New Roman" w:cs="Times New Roman"/>
          <w:sz w:val="20"/>
          <w:szCs w:val="20"/>
        </w:rPr>
        <w:t>IFN</w:t>
      </w:r>
      <w:r w:rsidRPr="00C0588D">
        <w:rPr>
          <w:rFonts w:ascii="Times New Roman" w:eastAsia="Times New Roman" w:hAnsi="Times New Roman" w:cs="Times New Roman"/>
          <w:color w:val="FF0000"/>
          <w:sz w:val="20"/>
          <w:szCs w:val="20"/>
        </w:rPr>
        <w:t>γ</w:t>
      </w:r>
      <w:proofErr w:type="spellEnd"/>
      <w:r w:rsidRPr="00C0588D">
        <w:rPr>
          <w:rFonts w:ascii="Times New Roman" w:eastAsia="Times New Roman" w:hAnsi="Times New Roman" w:cs="Times New Roman"/>
          <w:sz w:val="20"/>
          <w:szCs w:val="20"/>
        </w:rPr>
        <w:t xml:space="preserve"> levels by ELISA. Each indicates the level of </w:t>
      </w:r>
      <w:proofErr w:type="spellStart"/>
      <w:r w:rsidRPr="00C0588D">
        <w:rPr>
          <w:rFonts w:ascii="Times New Roman" w:eastAsia="Times New Roman" w:hAnsi="Times New Roman" w:cs="Times New Roman"/>
          <w:sz w:val="20"/>
          <w:szCs w:val="20"/>
        </w:rPr>
        <w:t>IFN</w:t>
      </w:r>
      <w:r w:rsidRPr="00C0588D">
        <w:rPr>
          <w:rFonts w:ascii="Times New Roman" w:eastAsia="Times New Roman" w:hAnsi="Times New Roman" w:cs="Times New Roman"/>
          <w:color w:val="FF0000"/>
          <w:sz w:val="20"/>
          <w:szCs w:val="20"/>
        </w:rPr>
        <w:t>γ</w:t>
      </w:r>
      <w:proofErr w:type="spellEnd"/>
      <w:r w:rsidRPr="00C0588D">
        <w:rPr>
          <w:rFonts w:ascii="Times New Roman" w:eastAsia="Times New Roman" w:hAnsi="Times New Roman" w:cs="Times New Roman"/>
          <w:sz w:val="20"/>
          <w:szCs w:val="20"/>
        </w:rPr>
        <w:t xml:space="preserve"> from a single donor of responder PBMCs.</w:t>
      </w:r>
    </w:p>
    <w:p w:rsidR="00524241" w:rsidRDefault="00524241" w:rsidP="00C0588D">
      <w:pPr>
        <w:tabs>
          <w:tab w:val="left" w:pos="1448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E2FBE" w:rsidRDefault="00524241" w:rsidP="00C0588D">
      <w:pPr>
        <w:tabs>
          <w:tab w:val="left" w:pos="1448"/>
        </w:tabs>
        <w:spacing w:after="0" w:line="360" w:lineRule="auto"/>
        <w:rPr>
          <w:sz w:val="20"/>
          <w:szCs w:val="20"/>
        </w:rPr>
      </w:pPr>
      <w:r w:rsidRPr="00524241">
        <w:rPr>
          <w:noProof/>
          <w:sz w:val="20"/>
          <w:szCs w:val="20"/>
        </w:rPr>
        <w:lastRenderedPageBreak/>
        <w:drawing>
          <wp:inline distT="0" distB="0" distL="0" distR="0">
            <wp:extent cx="4521200" cy="3642360"/>
            <wp:effectExtent l="0" t="0" r="0" b="0"/>
            <wp:docPr id="8" name="Picture 8" descr="C:\Users\Aust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stin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"/>
                    <a:stretch/>
                  </pic:blipFill>
                  <pic:spPr bwMode="auto">
                    <a:xfrm>
                      <a:off x="0" y="0"/>
                      <a:ext cx="45212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FBE" w:rsidRDefault="00BE2FBE" w:rsidP="00BE2FBE">
      <w:pPr>
        <w:rPr>
          <w:sz w:val="20"/>
          <w:szCs w:val="20"/>
        </w:rPr>
      </w:pPr>
    </w:p>
    <w:p w:rsidR="00524241" w:rsidRPr="00BE2FBE" w:rsidRDefault="00BE2FBE" w:rsidP="00BE2FBE">
      <w:pPr>
        <w:tabs>
          <w:tab w:val="left" w:pos="1248"/>
        </w:tabs>
        <w:spacing w:after="0" w:line="360" w:lineRule="auto"/>
        <w:rPr>
          <w:sz w:val="20"/>
          <w:szCs w:val="20"/>
        </w:rPr>
      </w:pPr>
      <w:r w:rsidRPr="00BE2F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S8: Comparison of MSCs and PMN-MDSCs from the same donor in an autologous and allogenic setting. </w:t>
      </w:r>
      <w:r w:rsidRPr="00BE2FBE">
        <w:rPr>
          <w:rFonts w:ascii="Times New Roman" w:eastAsia="Times New Roman" w:hAnsi="Times New Roman" w:cs="Times New Roman"/>
          <w:sz w:val="20"/>
          <w:szCs w:val="20"/>
        </w:rPr>
        <w:t>(A and C) First, MSCs were isolated and</w:t>
      </w:r>
      <w:r w:rsidRPr="00BE2FB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BE2FBE">
        <w:rPr>
          <w:rFonts w:ascii="Times New Roman" w:eastAsia="Times New Roman" w:hAnsi="Times New Roman" w:cs="Times New Roman"/>
          <w:sz w:val="20"/>
          <w:szCs w:val="20"/>
        </w:rPr>
        <w:t xml:space="preserve">cultured for up to 10 passages. PBMCs from heparinized fresh blood of the same donor were isolated by density gradient centrifugation. PMN-MDSCs were isolated from these PBMCs by magnetic separation with CD66b antibodies and appropriate </w:t>
      </w:r>
      <w:proofErr w:type="spellStart"/>
      <w:r w:rsidRPr="00BE2FBE">
        <w:rPr>
          <w:rFonts w:ascii="Times New Roman" w:eastAsia="Times New Roman" w:hAnsi="Times New Roman" w:cs="Times New Roman"/>
          <w:sz w:val="20"/>
          <w:szCs w:val="20"/>
        </w:rPr>
        <w:t>MicroBeads</w:t>
      </w:r>
      <w:proofErr w:type="spellEnd"/>
      <w:r w:rsidRPr="00BE2FBE">
        <w:rPr>
          <w:rFonts w:ascii="Times New Roman" w:eastAsia="Times New Roman" w:hAnsi="Times New Roman" w:cs="Times New Roman"/>
          <w:sz w:val="20"/>
          <w:szCs w:val="20"/>
        </w:rPr>
        <w:t>. Additionally, responder PBMCs were labeled with CFSE, stimulated with OKT3 and IL-2. Stimulated PBMCs were cultured with MSCs or PMN-MDSCs from the same donor in different ratios of 1:0.16, 1:0.25 or 1:0.5. After 4 days of incubation, the proliferation of T cells was analyzed by flow cytometry. Each donor of responder PBMCs is presented by ● for CD4</w:t>
      </w:r>
      <w:r w:rsidRPr="00BE2FBE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BE2FBE">
        <w:rPr>
          <w:rFonts w:ascii="Times New Roman" w:eastAsia="Times New Roman" w:hAnsi="Times New Roman" w:cs="Times New Roman"/>
          <w:sz w:val="20"/>
          <w:szCs w:val="20"/>
        </w:rPr>
        <w:t xml:space="preserve"> and by □ for CD8</w:t>
      </w:r>
      <w:r w:rsidRPr="00BE2FBE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+</w:t>
      </w:r>
      <w:r w:rsidRPr="00BE2FBE">
        <w:rPr>
          <w:rFonts w:ascii="Times New Roman" w:eastAsia="Times New Roman" w:hAnsi="Times New Roman" w:cs="Times New Roman"/>
          <w:sz w:val="20"/>
          <w:szCs w:val="20"/>
        </w:rPr>
        <w:t xml:space="preserve"> T cells. (B and D) Supernatants from the co-cultured PBMCs with MSCs or PMN-MDSCs were collected after 4 days and tested by </w:t>
      </w:r>
      <w:proofErr w:type="spellStart"/>
      <w:r w:rsidRPr="00BE2FBE">
        <w:rPr>
          <w:rFonts w:ascii="Times New Roman" w:eastAsia="Times New Roman" w:hAnsi="Times New Roman" w:cs="Times New Roman"/>
          <w:sz w:val="20"/>
          <w:szCs w:val="20"/>
        </w:rPr>
        <w:t>IFN</w:t>
      </w:r>
      <w:r w:rsidRPr="00BE2FBE">
        <w:rPr>
          <w:rFonts w:ascii="Times New Roman" w:eastAsia="Times New Roman" w:hAnsi="Times New Roman" w:cs="Times New Roman"/>
          <w:color w:val="FF0000"/>
          <w:sz w:val="20"/>
          <w:szCs w:val="20"/>
        </w:rPr>
        <w:t>γ</w:t>
      </w:r>
      <w:proofErr w:type="spellEnd"/>
      <w:r w:rsidRPr="00BE2FBE">
        <w:rPr>
          <w:rFonts w:ascii="Times New Roman" w:eastAsia="Times New Roman" w:hAnsi="Times New Roman" w:cs="Times New Roman"/>
          <w:sz w:val="20"/>
          <w:szCs w:val="20"/>
        </w:rPr>
        <w:t xml:space="preserve"> ELISA. Each indicates the level of </w:t>
      </w:r>
      <w:proofErr w:type="spellStart"/>
      <w:r w:rsidRPr="00BE2FBE">
        <w:rPr>
          <w:rFonts w:ascii="Times New Roman" w:eastAsia="Times New Roman" w:hAnsi="Times New Roman" w:cs="Times New Roman"/>
          <w:sz w:val="20"/>
          <w:szCs w:val="20"/>
        </w:rPr>
        <w:t>IFN</w:t>
      </w:r>
      <w:r w:rsidRPr="00BE2FBE">
        <w:rPr>
          <w:rFonts w:ascii="Times New Roman" w:eastAsia="Times New Roman" w:hAnsi="Times New Roman" w:cs="Times New Roman"/>
          <w:color w:val="FF0000"/>
          <w:sz w:val="20"/>
          <w:szCs w:val="20"/>
        </w:rPr>
        <w:t>γ</w:t>
      </w:r>
      <w:proofErr w:type="spellEnd"/>
      <w:r w:rsidRPr="00BE2FBE">
        <w:rPr>
          <w:rFonts w:ascii="Times New Roman" w:eastAsia="Times New Roman" w:hAnsi="Times New Roman" w:cs="Times New Roman"/>
          <w:sz w:val="20"/>
          <w:szCs w:val="20"/>
        </w:rPr>
        <w:t xml:space="preserve"> from a single donor of responder PBMCs. In Figure S8 A-B, the autologous experimental setting is presented with responder PBMCs, MSCs, and PMN-MDSCs from the same donor, whereas in Figure S8 C-D the allogenic setting is shown with stimulated PBMCs from another donor, but still MSCs a</w:t>
      </w:r>
      <w:bookmarkStart w:id="1" w:name="_GoBack"/>
      <w:bookmarkEnd w:id="1"/>
      <w:r w:rsidRPr="00BE2FBE">
        <w:rPr>
          <w:rFonts w:ascii="Times New Roman" w:eastAsia="Times New Roman" w:hAnsi="Times New Roman" w:cs="Times New Roman"/>
          <w:sz w:val="20"/>
          <w:szCs w:val="20"/>
        </w:rPr>
        <w:t>nd PMN-MDSCs were obtained from the same donor.</w:t>
      </w:r>
    </w:p>
    <w:sectPr w:rsidR="00524241" w:rsidRPr="00BE2F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9FF"/>
    <w:rsid w:val="00005A43"/>
    <w:rsid w:val="000061C0"/>
    <w:rsid w:val="0001651C"/>
    <w:rsid w:val="00201D20"/>
    <w:rsid w:val="002872F3"/>
    <w:rsid w:val="00456B1A"/>
    <w:rsid w:val="004A29FF"/>
    <w:rsid w:val="004F0352"/>
    <w:rsid w:val="005104D2"/>
    <w:rsid w:val="00515686"/>
    <w:rsid w:val="00524241"/>
    <w:rsid w:val="00623918"/>
    <w:rsid w:val="006420CD"/>
    <w:rsid w:val="00651AB5"/>
    <w:rsid w:val="006E0A6D"/>
    <w:rsid w:val="007510D5"/>
    <w:rsid w:val="0079793A"/>
    <w:rsid w:val="00805289"/>
    <w:rsid w:val="00805644"/>
    <w:rsid w:val="009A74CC"/>
    <w:rsid w:val="00AB3619"/>
    <w:rsid w:val="00BE2FBE"/>
    <w:rsid w:val="00C0588D"/>
    <w:rsid w:val="00EC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BDE7"/>
  <w15:chartTrackingRefBased/>
  <w15:docId w15:val="{412C5073-D7D9-4A44-9DC9-93B774026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Oruganti Sai Sneha</dc:creator>
  <cp:keywords/>
  <dc:description/>
  <cp:lastModifiedBy>Oruganti Sai Sneha</cp:lastModifiedBy>
  <cp:revision>22</cp:revision>
  <dcterms:created xsi:type="dcterms:W3CDTF">2019-06-27T04:57:00Z</dcterms:created>
  <dcterms:modified xsi:type="dcterms:W3CDTF">2019-06-27T06:11:00Z</dcterms:modified>
</cp:coreProperties>
</file>